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9441" w14:textId="5F2936F3" w:rsidR="000C12AB" w:rsidRDefault="007B5C03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0C12AB">
        <w:rPr>
          <w:rFonts w:ascii="Tahoma" w:hAnsi="Tahoma" w:cs="Tahoma"/>
          <w:b/>
          <w:sz w:val="24"/>
          <w:szCs w:val="24"/>
        </w:rPr>
        <w:t>REPUBLIQUE DU SENEGAL                              N°_______/MSAS/DGS/DPM</w:t>
      </w:r>
    </w:p>
    <w:p w14:paraId="75896E1B" w14:textId="77777777" w:rsidR="000C12AB" w:rsidRDefault="000C12AB" w:rsidP="000C12A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Un Peuple -Un But -Une Foi</w:t>
      </w:r>
    </w:p>
    <w:p w14:paraId="3452029D" w14:textId="77777777" w:rsidR="000C12AB" w:rsidRDefault="000C12AB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-----------</w:t>
      </w:r>
    </w:p>
    <w:p w14:paraId="493AFDCD" w14:textId="77777777" w:rsidR="000C12AB" w:rsidRDefault="000C12AB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Ministère de la Santé </w:t>
      </w:r>
    </w:p>
    <w:p w14:paraId="77278739" w14:textId="77777777" w:rsidR="000C12AB" w:rsidRDefault="000C12AB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et de l’Action sociale</w:t>
      </w:r>
    </w:p>
    <w:p w14:paraId="427B892C" w14:textId="77777777" w:rsidR="000C12AB" w:rsidRDefault="000C12AB" w:rsidP="000C12AB">
      <w:pPr>
        <w:tabs>
          <w:tab w:val="left" w:pos="5000"/>
        </w:tabs>
        <w:ind w:left="4956" w:hanging="495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-----------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5384" wp14:editId="61CDEC3B">
                <wp:simplePos x="0" y="0"/>
                <wp:positionH relativeFrom="column">
                  <wp:posOffset>-660400</wp:posOffset>
                </wp:positionH>
                <wp:positionV relativeFrom="paragraph">
                  <wp:posOffset>22860</wp:posOffset>
                </wp:positionV>
                <wp:extent cx="619760" cy="499745"/>
                <wp:effectExtent l="0" t="0" r="27940" b="1460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14D8" w14:textId="77777777" w:rsidR="000C12AB" w:rsidRDefault="000C12AB" w:rsidP="000C12A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538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52pt;margin-top:1.8pt;width:48.8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" strokecolor="white [3212]">
                <v:textbox>
                  <w:txbxContent>
                    <w:p w14:paraId="015414D8" w14:textId="77777777" w:rsidR="000C12AB" w:rsidRDefault="000C12AB" w:rsidP="000C12A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84A3361" w14:textId="249A5D0A" w:rsidR="000C12AB" w:rsidRPr="00B04B8A" w:rsidRDefault="000C12AB" w:rsidP="000007C3">
      <w:pPr>
        <w:tabs>
          <w:tab w:val="left" w:pos="5000"/>
        </w:tabs>
        <w:ind w:left="4248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Arrêté portant octroi de l’Autorisation</w:t>
      </w:r>
    </w:p>
    <w:p w14:paraId="71A1D445" w14:textId="067C9F82" w:rsidR="000C12AB" w:rsidRPr="00B04B8A" w:rsidRDefault="000C12AB" w:rsidP="000007C3">
      <w:pPr>
        <w:tabs>
          <w:tab w:val="left" w:pos="5000"/>
        </w:tabs>
        <w:ind w:left="4248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de Mise sur le Marché à la spécialité : </w:t>
      </w:r>
    </w:p>
    <w:p w14:paraId="57FEFEE6" w14:textId="6B4C1CDF" w:rsidR="001F47FB" w:rsidRPr="001F47FB" w:rsidRDefault="004D154D" w:rsidP="001F47FB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</w:rPr>
      </w:pPr>
      <w:r>
        <w:rPr>
          <w:b/>
          <w:bCs/>
        </w:rPr>
        <w:t xml:space="preserve">                                       </w:t>
      </w:r>
      <w:r w:rsidR="00077B80">
        <w:rPr>
          <w:b/>
          <w:bCs/>
        </w:rPr>
        <w:t xml:space="preserve">           </w:t>
      </w:r>
      <w:r w:rsidR="001F47FB">
        <w:rPr>
          <w:b/>
          <w:bCs/>
        </w:rPr>
        <w:t xml:space="preserve"> </w:t>
      </w:r>
      <w:r w:rsidR="001F47FB" w:rsidRPr="001F47FB">
        <w:rPr>
          <w:rFonts w:ascii="Tahoma" w:hAnsi="Tahoma" w:cs="Tahoma"/>
          <w:b/>
          <w:bCs/>
          <w:color w:val="FF0000"/>
        </w:rPr>
        <w:t>Teromep</w:t>
      </w:r>
      <w:r w:rsidR="001F47FB">
        <w:rPr>
          <w:rFonts w:ascii="Tahoma" w:hAnsi="Tahoma" w:cs="Tahoma"/>
          <w:b/>
          <w:bCs/>
          <w:color w:val="FF0000"/>
        </w:rPr>
        <w:t xml:space="preserve"> 20mg, gélules à libération </w:t>
      </w:r>
      <w:r w:rsidR="001F47FB" w:rsidRPr="001F47FB">
        <w:rPr>
          <w:rFonts w:ascii="Tahoma" w:hAnsi="Tahoma" w:cs="Tahoma"/>
          <w:b/>
          <w:bCs/>
          <w:color w:val="FF0000"/>
        </w:rPr>
        <w:t>retardée</w:t>
      </w:r>
      <w:r w:rsidR="00077B80">
        <w:rPr>
          <w:rFonts w:ascii="Tahoma" w:hAnsi="Tahoma" w:cs="Tahoma"/>
          <w:b/>
          <w:bCs/>
          <w:color w:val="FF0000"/>
        </w:rPr>
        <w:t xml:space="preserve"> B/30</w:t>
      </w:r>
    </w:p>
    <w:p w14:paraId="014F1A11" w14:textId="13A1C393" w:rsidR="004D154D" w:rsidRPr="00DE4C41" w:rsidRDefault="004D154D" w:rsidP="004D154D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14:paraId="08B5A73F" w14:textId="39F51809" w:rsidR="00CC0044" w:rsidRPr="00DE4C41" w:rsidRDefault="00CC0044" w:rsidP="000007C3">
      <w:pPr>
        <w:tabs>
          <w:tab w:val="left" w:pos="5000"/>
        </w:tabs>
        <w:ind w:left="4248"/>
        <w:rPr>
          <w:rFonts w:ascii="Tahoma" w:hAnsi="Tahoma" w:cs="Tahoma"/>
          <w:b/>
          <w:color w:val="FF0000"/>
          <w:sz w:val="24"/>
          <w:szCs w:val="24"/>
        </w:rPr>
      </w:pPr>
    </w:p>
    <w:p w14:paraId="68595892" w14:textId="214F1002" w:rsidR="000C12AB" w:rsidRPr="00B04B8A" w:rsidRDefault="00426790" w:rsidP="00CC0044">
      <w:pPr>
        <w:tabs>
          <w:tab w:val="left" w:pos="5000"/>
        </w:tabs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</w:t>
      </w:r>
    </w:p>
    <w:p w14:paraId="2BF622DC" w14:textId="7CCB129D" w:rsidR="000C12AB" w:rsidRPr="00B04B8A" w:rsidRDefault="000C12AB" w:rsidP="007E15D3">
      <w:pPr>
        <w:rPr>
          <w:rFonts w:ascii="Tahoma" w:hAnsi="Tahoma" w:cs="Tahoma"/>
          <w:spacing w:val="12"/>
          <w:sz w:val="24"/>
          <w:szCs w:val="24"/>
          <w:lang w:eastAsia="en-US"/>
        </w:rPr>
      </w:pPr>
    </w:p>
    <w:p w14:paraId="1CA40E8B" w14:textId="77777777" w:rsidR="000C12AB" w:rsidRPr="00B04B8A" w:rsidRDefault="000C12AB" w:rsidP="000C12AB">
      <w:pPr>
        <w:jc w:val="center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 xml:space="preserve">LE </w:t>
      </w:r>
      <w:r w:rsidRPr="00B04B8A">
        <w:rPr>
          <w:rFonts w:ascii="Tahoma" w:hAnsi="Tahoma" w:cs="Tahoma"/>
          <w:b/>
          <w:sz w:val="24"/>
        </w:rPr>
        <w:t>MINISTRE DE LA SANTE</w:t>
      </w:r>
      <w:r w:rsidRPr="00B04B8A">
        <w:rPr>
          <w:rFonts w:ascii="Tahoma" w:hAnsi="Tahoma" w:cs="Tahoma"/>
          <w:b/>
          <w:sz w:val="32"/>
        </w:rPr>
        <w:t xml:space="preserve"> </w:t>
      </w:r>
      <w:r w:rsidRPr="00B04B8A">
        <w:rPr>
          <w:rFonts w:ascii="Tahoma" w:hAnsi="Tahoma" w:cs="Tahoma"/>
          <w:b/>
          <w:sz w:val="24"/>
        </w:rPr>
        <w:t>ET DE L’ACTION SOCIALE</w:t>
      </w:r>
      <w:r w:rsidRPr="00B04B8A">
        <w:rPr>
          <w:rFonts w:ascii="Tahoma" w:hAnsi="Tahoma" w:cs="Tahoma"/>
          <w:b/>
          <w:sz w:val="24"/>
          <w:szCs w:val="24"/>
        </w:rPr>
        <w:t>,</w:t>
      </w:r>
    </w:p>
    <w:p w14:paraId="5CCE9BF3" w14:textId="77777777" w:rsidR="000C12AB" w:rsidRPr="00B04B8A" w:rsidRDefault="000C12AB" w:rsidP="000C12AB">
      <w:pPr>
        <w:rPr>
          <w:rFonts w:ascii="Tahoma" w:hAnsi="Tahoma" w:cs="Tahoma"/>
          <w:b/>
          <w:sz w:val="24"/>
          <w:szCs w:val="24"/>
        </w:rPr>
      </w:pPr>
    </w:p>
    <w:p w14:paraId="7D418E9E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la Constitution ;</w:t>
      </w:r>
    </w:p>
    <w:p w14:paraId="57093F54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Code de la Santé publique notamment en ses articles 601 et 603, modifié par la loi n°65- 33 du 19 mai 1965 ;</w:t>
      </w:r>
    </w:p>
    <w:p w14:paraId="18CF6424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n°67-007 du 04 janvier 1967 réglementant la présentation et la dénomination des spécialités pharmaceutiques ;</w:t>
      </w:r>
    </w:p>
    <w:p w14:paraId="67417EC2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n°67-008 du 04 janvier 1967 relatif aux visas des spécialités pharmaceutiques, complété par le décret n°71-803 du 16 juillet 1971 ;</w:t>
      </w:r>
    </w:p>
    <w:p w14:paraId="56A8D5D5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n°75-454 du 24 avril 1975 relatif à l’autorisation de débit des spécialités</w:t>
      </w:r>
    </w:p>
    <w:p w14:paraId="262021CD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Pharmaceutiques;</w:t>
      </w:r>
    </w:p>
    <w:p w14:paraId="39BD6BA6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n°2020-936 du 03 avril 2020 portant organisation du Ministère de la Santé et de l’Action sociale ;</w:t>
      </w:r>
    </w:p>
    <w:p w14:paraId="32D77F4B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n°2020-2098 du 01 novembre 2020 portant nomination des ministres et secrétaires d’Etat et fixant la composition du Gouvernement ;</w:t>
      </w:r>
    </w:p>
    <w:p w14:paraId="103B3EBC" w14:textId="6CE53DDB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n°2020-2100 du 01 novembre 2020 portant répartition des services de l’Eta</w:t>
      </w:r>
      <w:r w:rsidR="001F47FB">
        <w:rPr>
          <w:rFonts w:ascii="Tahoma" w:hAnsi="Tahoma" w:cs="Tahoma"/>
          <w:sz w:val="24"/>
          <w:szCs w:val="24"/>
        </w:rPr>
        <w:t xml:space="preserve">t </w:t>
      </w:r>
      <w:r w:rsidRPr="00CC0044">
        <w:rPr>
          <w:rFonts w:ascii="Tahoma" w:hAnsi="Tahoma" w:cs="Tahoma"/>
          <w:sz w:val="24"/>
          <w:szCs w:val="24"/>
        </w:rPr>
        <w:t>et du contrôle des établissements publics, des sociétés nationales et des sociétés à participation publique entre la Présidence de la République, le Secrétariat général du Gouvernement et les ministères;</w:t>
      </w:r>
    </w:p>
    <w:p w14:paraId="4BE267A5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n°2020-2200 du 11 novembre 2020 relatif aux attributions du Ministre de la Santé et de l’Action sociale ;</w:t>
      </w:r>
    </w:p>
    <w:p w14:paraId="47AF0B5E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 xml:space="preserve">VU l’arrêté ministériel n°17550 du 20 novembre 2014 instituant la Commission nationale du Médicament en application du Règlement N°06/2010/CM/UEMOA relatif aux procédures d’homologation des produits pharmaceutiques à usage humain dans les Etats membres de l’UEMOA ; </w:t>
      </w:r>
    </w:p>
    <w:p w14:paraId="2153FA9B" w14:textId="237922EB" w:rsidR="000C12AB" w:rsidRPr="00CC0044" w:rsidRDefault="000C12AB" w:rsidP="00CC0044">
      <w:pPr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l’avis de la Commission natio</w:t>
      </w:r>
      <w:r w:rsidR="00E438D0" w:rsidRPr="00CC0044">
        <w:rPr>
          <w:rFonts w:ascii="Tahoma" w:hAnsi="Tahoma" w:cs="Tahoma"/>
          <w:sz w:val="24"/>
          <w:szCs w:val="24"/>
        </w:rPr>
        <w:t xml:space="preserve">nale du Médicament en date </w:t>
      </w:r>
      <w:r w:rsidR="00796538" w:rsidRPr="00530AC6">
        <w:rPr>
          <w:rFonts w:ascii="Tahoma" w:hAnsi="Tahoma" w:cs="Tahoma"/>
          <w:color w:val="FF0000"/>
          <w:sz w:val="24"/>
          <w:szCs w:val="24"/>
        </w:rPr>
        <w:t xml:space="preserve">du </w:t>
      </w:r>
      <w:r w:rsidR="00857F81">
        <w:rPr>
          <w:rFonts w:ascii="Tahoma" w:hAnsi="Tahoma" w:cs="Tahoma"/>
          <w:color w:val="FF0000"/>
          <w:sz w:val="24"/>
          <w:szCs w:val="24"/>
        </w:rPr>
        <w:t xml:space="preserve">14 au 16 juin </w:t>
      </w:r>
      <w:r w:rsidR="00E438D0" w:rsidRPr="00530AC6">
        <w:rPr>
          <w:rFonts w:ascii="Tahoma" w:hAnsi="Tahoma" w:cs="Tahoma"/>
          <w:color w:val="FF0000"/>
          <w:sz w:val="24"/>
          <w:szCs w:val="24"/>
        </w:rPr>
        <w:t>20</w:t>
      </w:r>
      <w:r w:rsidR="00857F81">
        <w:rPr>
          <w:rFonts w:ascii="Tahoma" w:hAnsi="Tahoma" w:cs="Tahoma"/>
          <w:color w:val="FF0000"/>
          <w:sz w:val="24"/>
          <w:szCs w:val="24"/>
        </w:rPr>
        <w:t>21</w:t>
      </w:r>
      <w:r w:rsidRPr="00530AC6">
        <w:rPr>
          <w:rFonts w:ascii="Tahoma" w:hAnsi="Tahoma" w:cs="Tahoma"/>
          <w:color w:val="FF0000"/>
          <w:sz w:val="24"/>
          <w:szCs w:val="24"/>
        </w:rPr>
        <w:t>,</w:t>
      </w:r>
    </w:p>
    <w:p w14:paraId="2DC1BD8A" w14:textId="77777777" w:rsidR="000C12AB" w:rsidRPr="00CC0044" w:rsidRDefault="000C12AB" w:rsidP="00CC0044">
      <w:pPr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Sur la note de présentation du Directeur de la Pharmacie et du Médicament,</w:t>
      </w:r>
    </w:p>
    <w:p w14:paraId="7C911791" w14:textId="77777777" w:rsidR="000C12AB" w:rsidRPr="00B04B8A" w:rsidRDefault="000C12AB" w:rsidP="000C12AB">
      <w:pPr>
        <w:rPr>
          <w:rFonts w:ascii="Tahoma" w:hAnsi="Tahoma" w:cs="Tahoma"/>
          <w:sz w:val="24"/>
          <w:szCs w:val="24"/>
        </w:rPr>
      </w:pPr>
    </w:p>
    <w:p w14:paraId="65421DF8" w14:textId="77777777" w:rsidR="000C12AB" w:rsidRPr="00B04B8A" w:rsidRDefault="000C12AB" w:rsidP="000C12AB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 R R E T E :</w:t>
      </w:r>
    </w:p>
    <w:p w14:paraId="2A37ECC8" w14:textId="195E8513" w:rsidR="00CC0044" w:rsidRDefault="000C12AB" w:rsidP="00E438D0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Article premier</w:t>
      </w:r>
      <w:r w:rsidRPr="00B04B8A">
        <w:rPr>
          <w:rFonts w:ascii="Tahoma" w:hAnsi="Tahoma" w:cs="Tahoma"/>
          <w:sz w:val="24"/>
          <w:szCs w:val="24"/>
        </w:rPr>
        <w:t>.</w:t>
      </w:r>
      <w:r w:rsidR="00593597">
        <w:rPr>
          <w:rFonts w:ascii="Tahoma" w:hAnsi="Tahoma" w:cs="Tahoma"/>
          <w:sz w:val="24"/>
          <w:szCs w:val="24"/>
        </w:rPr>
        <w:t xml:space="preserve"> </w:t>
      </w:r>
      <w:r w:rsidRPr="00B04B8A">
        <w:rPr>
          <w:rFonts w:ascii="Tahoma" w:hAnsi="Tahoma" w:cs="Tahoma"/>
          <w:sz w:val="24"/>
          <w:szCs w:val="24"/>
        </w:rPr>
        <w:t xml:space="preserve">- L’Autorisation de Mise sur le Marché est accordée à la spécialité : </w:t>
      </w:r>
    </w:p>
    <w:p w14:paraId="060A6112" w14:textId="39632E56" w:rsidR="00077B80" w:rsidRPr="001F47FB" w:rsidRDefault="004B58D8" w:rsidP="00077B80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</w:rPr>
      </w:pPr>
      <w:r w:rsidRPr="004B58D8">
        <w:rPr>
          <w:rFonts w:ascii="Tahoma" w:hAnsi="Tahoma" w:cs="Tahoma"/>
          <w:b/>
          <w:bCs/>
          <w:color w:val="FF0000"/>
        </w:rPr>
        <w:t xml:space="preserve">  </w:t>
      </w:r>
      <w:r w:rsidR="00077B80">
        <w:rPr>
          <w:rFonts w:ascii="Tahoma" w:hAnsi="Tahoma" w:cs="Tahoma"/>
          <w:b/>
          <w:bCs/>
          <w:color w:val="FF0000"/>
        </w:rPr>
        <w:t xml:space="preserve"> </w:t>
      </w:r>
      <w:r w:rsidR="00077B80" w:rsidRPr="001F47FB">
        <w:rPr>
          <w:rFonts w:ascii="Tahoma" w:hAnsi="Tahoma" w:cs="Tahoma"/>
          <w:b/>
          <w:bCs/>
          <w:color w:val="FF0000"/>
        </w:rPr>
        <w:t>Teromep</w:t>
      </w:r>
      <w:r w:rsidR="00077B80">
        <w:rPr>
          <w:rFonts w:ascii="Tahoma" w:hAnsi="Tahoma" w:cs="Tahoma"/>
          <w:b/>
          <w:bCs/>
          <w:color w:val="FF0000"/>
        </w:rPr>
        <w:t xml:space="preserve"> 20mg, gélules à libération </w:t>
      </w:r>
      <w:r w:rsidR="00077B80" w:rsidRPr="001F47FB">
        <w:rPr>
          <w:rFonts w:ascii="Tahoma" w:hAnsi="Tahoma" w:cs="Tahoma"/>
          <w:b/>
          <w:bCs/>
          <w:color w:val="FF0000"/>
        </w:rPr>
        <w:t>retardée</w:t>
      </w:r>
      <w:r w:rsidR="00077B80">
        <w:rPr>
          <w:rFonts w:ascii="Tahoma" w:hAnsi="Tahoma" w:cs="Tahoma"/>
          <w:b/>
          <w:bCs/>
          <w:color w:val="FF0000"/>
        </w:rPr>
        <w:t xml:space="preserve"> B/30</w:t>
      </w:r>
    </w:p>
    <w:p w14:paraId="77E2C451" w14:textId="77777777" w:rsidR="00077B80" w:rsidRDefault="00077B80" w:rsidP="00792204">
      <w:pPr>
        <w:pStyle w:val="Sansinterligne"/>
        <w:rPr>
          <w:rFonts w:ascii="Tahoma" w:hAnsi="Tahoma" w:cs="Tahoma"/>
          <w:b/>
          <w:bCs/>
          <w:sz w:val="24"/>
          <w:szCs w:val="24"/>
        </w:rPr>
      </w:pPr>
    </w:p>
    <w:p w14:paraId="278A9725" w14:textId="00AC9528" w:rsidR="00792204" w:rsidRPr="00792204" w:rsidRDefault="000C12AB" w:rsidP="00792204">
      <w:pPr>
        <w:pStyle w:val="Sansinterligne"/>
        <w:rPr>
          <w:rFonts w:ascii="Tahoma" w:hAnsi="Tahoma" w:cs="Tahoma"/>
          <w:b/>
          <w:color w:val="FF0000"/>
          <w:sz w:val="24"/>
          <w:szCs w:val="24"/>
        </w:rPr>
      </w:pPr>
      <w:r w:rsidRPr="00792204">
        <w:rPr>
          <w:rFonts w:ascii="Tahoma" w:hAnsi="Tahoma" w:cs="Tahoma"/>
          <w:sz w:val="24"/>
          <w:szCs w:val="24"/>
        </w:rPr>
        <w:t>Des Laboratoi</w:t>
      </w:r>
      <w:r w:rsidR="00E438D0" w:rsidRPr="00792204">
        <w:rPr>
          <w:rFonts w:ascii="Tahoma" w:hAnsi="Tahoma" w:cs="Tahoma"/>
          <w:sz w:val="24"/>
          <w:szCs w:val="24"/>
        </w:rPr>
        <w:t>res</w:t>
      </w:r>
      <w:bookmarkStart w:id="0" w:name="_Toc142278943"/>
      <w:r w:rsidR="000007C3" w:rsidRPr="00792204">
        <w:rPr>
          <w:rFonts w:ascii="Tahoma" w:hAnsi="Tahoma" w:cs="Tahoma"/>
          <w:sz w:val="24"/>
          <w:szCs w:val="24"/>
        </w:rPr>
        <w:t> :</w:t>
      </w:r>
      <w:bookmarkEnd w:id="0"/>
      <w:r w:rsidR="00792204" w:rsidRPr="00792204">
        <w:rPr>
          <w:rFonts w:ascii="Tahoma" w:hAnsi="Tahoma" w:cs="Tahoma"/>
          <w:sz w:val="24"/>
          <w:szCs w:val="24"/>
        </w:rPr>
        <w:t xml:space="preserve"> </w:t>
      </w:r>
      <w:r w:rsidR="00792204" w:rsidRPr="00792204">
        <w:rPr>
          <w:rFonts w:ascii="Tahoma" w:hAnsi="Tahoma" w:cs="Tahoma"/>
          <w:color w:val="FF0000"/>
          <w:sz w:val="24"/>
          <w:szCs w:val="24"/>
        </w:rPr>
        <w:t>Teranga Pharma km 18, Route de Rufisque, Zone franche industrielle de Mbao</w:t>
      </w:r>
      <w:r w:rsidR="00792204" w:rsidRPr="00792204">
        <w:rPr>
          <w:rFonts w:ascii="Tahoma" w:hAnsi="Tahoma" w:cs="Tahoma"/>
          <w:b/>
          <w:color w:val="FF0000"/>
          <w:sz w:val="24"/>
          <w:szCs w:val="24"/>
        </w:rPr>
        <w:t xml:space="preserve">, </w:t>
      </w:r>
      <w:r w:rsidR="00792204" w:rsidRPr="00792204">
        <w:rPr>
          <w:rFonts w:ascii="Tahoma" w:hAnsi="Tahoma" w:cs="Tahoma"/>
          <w:color w:val="FF0000"/>
          <w:sz w:val="24"/>
          <w:szCs w:val="24"/>
        </w:rPr>
        <w:t>Dakar-Sénégal.</w:t>
      </w:r>
    </w:p>
    <w:p w14:paraId="75DCDE71" w14:textId="6F5C980D" w:rsidR="00796538" w:rsidRPr="00792204" w:rsidRDefault="00796538" w:rsidP="00792204">
      <w:pPr>
        <w:pStyle w:val="Sansinterligne"/>
        <w:rPr>
          <w:rFonts w:ascii="Tahoma" w:hAnsi="Tahoma" w:cs="Tahoma"/>
          <w:color w:val="FF0000"/>
          <w:sz w:val="24"/>
          <w:szCs w:val="24"/>
        </w:rPr>
      </w:pPr>
    </w:p>
    <w:p w14:paraId="3A6D93E8" w14:textId="77777777" w:rsidR="007E15D3" w:rsidRPr="00792204" w:rsidRDefault="007E15D3" w:rsidP="00CD0788">
      <w:pPr>
        <w:spacing w:line="276" w:lineRule="auto"/>
        <w:ind w:right="40"/>
        <w:jc w:val="both"/>
        <w:rPr>
          <w:rFonts w:ascii="Tahoma" w:hAnsi="Tahoma" w:cs="Tahoma"/>
          <w:sz w:val="24"/>
          <w:szCs w:val="24"/>
        </w:rPr>
      </w:pPr>
    </w:p>
    <w:p w14:paraId="354E8392" w14:textId="0FE8352D" w:rsidR="000C12AB" w:rsidRPr="00530AC6" w:rsidRDefault="000C12AB" w:rsidP="000C12A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B04B8A">
        <w:rPr>
          <w:rFonts w:ascii="Tahoma" w:hAnsi="Tahoma" w:cs="Tahoma"/>
          <w:sz w:val="24"/>
          <w:szCs w:val="24"/>
        </w:rPr>
        <w:t>Sous le numéro</w:t>
      </w:r>
      <w:r w:rsidRPr="00B04B8A">
        <w:rPr>
          <w:rFonts w:ascii="Tahoma" w:hAnsi="Tahoma" w:cs="Tahoma"/>
          <w:b/>
          <w:sz w:val="24"/>
          <w:szCs w:val="24"/>
        </w:rPr>
        <w:t> </w:t>
      </w:r>
      <w:r w:rsidRPr="00530AC6">
        <w:rPr>
          <w:rFonts w:ascii="Tahoma" w:hAnsi="Tahoma" w:cs="Tahoma"/>
          <w:color w:val="FF0000"/>
          <w:sz w:val="24"/>
          <w:szCs w:val="24"/>
        </w:rPr>
        <w:t>:</w:t>
      </w:r>
      <w:r w:rsidRPr="00530AC6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530AC6" w:rsidRPr="00530AC6">
        <w:rPr>
          <w:rFonts w:ascii="Tahoma" w:hAnsi="Tahoma" w:cs="Tahoma"/>
          <w:b/>
          <w:color w:val="FF0000"/>
          <w:sz w:val="24"/>
          <w:szCs w:val="24"/>
        </w:rPr>
        <w:t>……….</w:t>
      </w:r>
    </w:p>
    <w:p w14:paraId="201A4EE2" w14:textId="77777777" w:rsidR="000C12AB" w:rsidRPr="00B04B8A" w:rsidRDefault="000C12AB" w:rsidP="000C12AB">
      <w:pPr>
        <w:jc w:val="both"/>
        <w:rPr>
          <w:rFonts w:ascii="Tahoma" w:hAnsi="Tahoma" w:cs="Tahoma"/>
          <w:sz w:val="24"/>
          <w:szCs w:val="24"/>
        </w:rPr>
      </w:pPr>
    </w:p>
    <w:p w14:paraId="2C50FB96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Article 2</w:t>
      </w:r>
      <w:r w:rsidRPr="00B04B8A">
        <w:rPr>
          <w:rFonts w:ascii="Tahoma" w:hAnsi="Tahoma" w:cs="Tahoma"/>
          <w:sz w:val="24"/>
          <w:szCs w:val="24"/>
        </w:rPr>
        <w:t>.- Ladite spécialité répond à la composition suivante :</w:t>
      </w:r>
    </w:p>
    <w:p w14:paraId="39D067E8" w14:textId="60C15A4A" w:rsidR="000C12AB" w:rsidRPr="00530AC6" w:rsidRDefault="001F47FB" w:rsidP="000C12AB">
      <w:pPr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Chaque gélule</w:t>
      </w:r>
      <w:r w:rsidR="00CD0788" w:rsidRPr="00530AC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C12AB" w:rsidRPr="00530AC6">
        <w:rPr>
          <w:rFonts w:ascii="Tahoma" w:hAnsi="Tahoma" w:cs="Tahoma"/>
          <w:color w:val="FF0000"/>
          <w:sz w:val="24"/>
          <w:szCs w:val="24"/>
        </w:rPr>
        <w:t>contient :</w:t>
      </w:r>
    </w:p>
    <w:p w14:paraId="0B2F14E3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B04B8A">
        <w:rPr>
          <w:rFonts w:ascii="Tahoma" w:hAnsi="Tahoma" w:cs="Tahoma"/>
          <w:sz w:val="24"/>
          <w:szCs w:val="24"/>
          <w:u w:val="single"/>
        </w:rPr>
        <w:t>Principe actif:</w:t>
      </w:r>
    </w:p>
    <w:p w14:paraId="43A39904" w14:textId="6C8CFCDA" w:rsidR="001F47FB" w:rsidRPr="001F47FB" w:rsidRDefault="001F47FB" w:rsidP="001F47FB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1F47FB">
        <w:rPr>
          <w:rFonts w:ascii="Tahoma" w:hAnsi="Tahoma" w:cs="Tahoma"/>
          <w:color w:val="FF0000"/>
          <w:sz w:val="24"/>
          <w:szCs w:val="24"/>
        </w:rPr>
        <w:t>Oméprazole USP (sous forme de granules à enrobag</w:t>
      </w:r>
      <w:r>
        <w:rPr>
          <w:rFonts w:ascii="Tahoma" w:hAnsi="Tahoma" w:cs="Tahoma"/>
          <w:color w:val="FF0000"/>
          <w:sz w:val="24"/>
          <w:szCs w:val="24"/>
        </w:rPr>
        <w:t>e entérique) ………………</w:t>
      </w:r>
      <w:r w:rsidRPr="001F47FB">
        <w:rPr>
          <w:rFonts w:ascii="Tahoma" w:hAnsi="Tahoma" w:cs="Tahoma"/>
          <w:color w:val="FF0000"/>
          <w:sz w:val="24"/>
          <w:szCs w:val="24"/>
        </w:rPr>
        <w:t>.... 20 mg</w:t>
      </w:r>
    </w:p>
    <w:p w14:paraId="2A36F2C0" w14:textId="77777777" w:rsidR="001F47FB" w:rsidRDefault="001F47FB" w:rsidP="00713EFD">
      <w:pPr>
        <w:pStyle w:val="Normal1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6072F72E" w14:textId="735B01B9" w:rsidR="001F47FB" w:rsidRPr="001F47FB" w:rsidRDefault="000C12AB" w:rsidP="001F47FB">
      <w:pPr>
        <w:jc w:val="both"/>
        <w:rPr>
          <w:rFonts w:ascii="Tahoma" w:hAnsi="Tahoma" w:cs="Tahoma"/>
          <w:color w:val="FF0000"/>
          <w:sz w:val="24"/>
          <w:szCs w:val="24"/>
          <w:highlight w:val="yellow"/>
        </w:rPr>
      </w:pPr>
      <w:r w:rsidRPr="004B468E">
        <w:rPr>
          <w:rStyle w:val="Emphaseple"/>
          <w:rFonts w:ascii="Tahoma" w:hAnsi="Tahoma" w:cs="Tahoma"/>
          <w:i w:val="0"/>
          <w:color w:val="auto"/>
          <w:u w:val="single"/>
        </w:rPr>
        <w:t>Excipients</w:t>
      </w:r>
      <w:r w:rsidRPr="00792204">
        <w:rPr>
          <w:rStyle w:val="Emphaseple"/>
          <w:rFonts w:ascii="Tahoma" w:hAnsi="Tahoma" w:cs="Tahoma"/>
          <w:i w:val="0"/>
          <w:color w:val="auto"/>
        </w:rPr>
        <w:t>:</w:t>
      </w:r>
      <w:r w:rsidR="001F47FB">
        <w:rPr>
          <w:rStyle w:val="Emphaseple"/>
          <w:rFonts w:ascii="Tahoma" w:hAnsi="Tahoma" w:cs="Tahoma"/>
          <w:i w:val="0"/>
          <w:color w:val="auto"/>
        </w:rPr>
        <w:t xml:space="preserve"> </w:t>
      </w:r>
      <w:r w:rsidR="001F47FB">
        <w:rPr>
          <w:rFonts w:ascii="Tahoma" w:hAnsi="Tahoma" w:cs="Tahoma"/>
          <w:color w:val="FF0000"/>
          <w:sz w:val="24"/>
          <w:szCs w:val="24"/>
        </w:rPr>
        <w:t xml:space="preserve">Hydroxymethyl cellulose, hydroxypropyl cellulose, lactose, phosphate disodique anhydre, sodium lauryl sulfate, sucre, amidon de maïs, </w:t>
      </w:r>
      <w:r w:rsidR="00077B80">
        <w:rPr>
          <w:rFonts w:ascii="Tahoma" w:hAnsi="Tahoma" w:cs="Tahoma"/>
          <w:color w:val="FF0000"/>
          <w:sz w:val="24"/>
          <w:szCs w:val="24"/>
        </w:rPr>
        <w:t xml:space="preserve"> </w:t>
      </w:r>
      <w:r w:rsidR="001F47FB">
        <w:rPr>
          <w:rFonts w:ascii="Tahoma" w:hAnsi="Tahoma" w:cs="Tahoma"/>
          <w:color w:val="FF0000"/>
          <w:sz w:val="24"/>
          <w:szCs w:val="24"/>
        </w:rPr>
        <w:t xml:space="preserve"> a</w:t>
      </w:r>
      <w:r w:rsidR="001F47FB" w:rsidRPr="001F47FB">
        <w:rPr>
          <w:rFonts w:ascii="Tahoma" w:hAnsi="Tahoma" w:cs="Tahoma"/>
          <w:color w:val="FF0000"/>
          <w:sz w:val="24"/>
          <w:szCs w:val="24"/>
        </w:rPr>
        <w:t xml:space="preserve">cide méthacrylique - </w:t>
      </w:r>
      <w:r w:rsidR="00077B80">
        <w:rPr>
          <w:rFonts w:ascii="Tahoma" w:hAnsi="Tahoma" w:cs="Tahoma"/>
          <w:color w:val="FF0000"/>
          <w:sz w:val="24"/>
          <w:szCs w:val="24"/>
        </w:rPr>
        <w:t>copolymer d’acrylate d’éthyle, triéthyle citrate, talc, isopropyl alcool, c</w:t>
      </w:r>
      <w:r w:rsidR="001F47FB" w:rsidRPr="001F47FB">
        <w:rPr>
          <w:rFonts w:ascii="Tahoma" w:hAnsi="Tahoma" w:cs="Tahoma"/>
          <w:color w:val="FF0000"/>
          <w:sz w:val="24"/>
          <w:szCs w:val="24"/>
        </w:rPr>
        <w:t xml:space="preserve">apsule de gelatin dure taille “2” rose/clair  </w:t>
      </w:r>
    </w:p>
    <w:p w14:paraId="358185FD" w14:textId="77777777" w:rsidR="001F47FB" w:rsidRPr="001F47FB" w:rsidRDefault="001F47FB" w:rsidP="001F47FB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1F47FB">
        <w:rPr>
          <w:rFonts w:ascii="Tahoma" w:hAnsi="Tahoma" w:cs="Tahoma"/>
          <w:color w:val="FF0000"/>
          <w:sz w:val="24"/>
          <w:szCs w:val="24"/>
          <w:highlight w:val="yellow"/>
        </w:rPr>
        <w:t xml:space="preserve">Excipients avec effet connu: </w:t>
      </w:r>
      <w:r w:rsidRPr="001F47FB">
        <w:rPr>
          <w:rFonts w:ascii="Tahoma" w:hAnsi="Tahoma" w:cs="Tahoma"/>
          <w:color w:val="FF0000"/>
          <w:sz w:val="24"/>
          <w:szCs w:val="24"/>
        </w:rPr>
        <w:t xml:space="preserve">Lactose, </w:t>
      </w:r>
    </w:p>
    <w:p w14:paraId="097E6BC6" w14:textId="6DBDECEB" w:rsidR="00713EFD" w:rsidRPr="00713EFD" w:rsidRDefault="00713EFD" w:rsidP="00713EFD">
      <w:pPr>
        <w:pStyle w:val="Normal1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255F6682" w14:textId="77777777" w:rsidR="00713EFD" w:rsidRDefault="00713EFD" w:rsidP="00B06C47">
      <w:pPr>
        <w:pStyle w:val="Normal1"/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7D45B553" w14:textId="7B2472F2" w:rsidR="00077B80" w:rsidRPr="00077B80" w:rsidRDefault="000C12AB" w:rsidP="00077B80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4B468E">
        <w:rPr>
          <w:rStyle w:val="Emphaseple"/>
          <w:rFonts w:ascii="Tahoma" w:hAnsi="Tahoma" w:cs="Tahoma"/>
          <w:b/>
          <w:i w:val="0"/>
          <w:color w:val="auto"/>
          <w:sz w:val="24"/>
          <w:szCs w:val="24"/>
        </w:rPr>
        <w:t>Article 3</w:t>
      </w:r>
      <w:r w:rsidRPr="004B468E">
        <w:rPr>
          <w:rStyle w:val="Emphaseple"/>
          <w:rFonts w:ascii="Tahoma" w:hAnsi="Tahoma" w:cs="Tahoma"/>
          <w:i w:val="0"/>
          <w:color w:val="auto"/>
          <w:sz w:val="24"/>
          <w:szCs w:val="24"/>
        </w:rPr>
        <w:t>.- Classe thérapeutiqu</w:t>
      </w:r>
      <w:r w:rsidR="00DC28B2" w:rsidRPr="004B468E">
        <w:rPr>
          <w:rStyle w:val="Emphaseple"/>
          <w:rFonts w:ascii="Tahoma" w:hAnsi="Tahoma" w:cs="Tahoma"/>
          <w:i w:val="0"/>
          <w:color w:val="auto"/>
          <w:sz w:val="24"/>
          <w:szCs w:val="24"/>
        </w:rPr>
        <w:t>e </w:t>
      </w:r>
      <w:r w:rsidR="00077B80">
        <w:rPr>
          <w:rStyle w:val="Emphaseple"/>
          <w:rFonts w:ascii="Tahoma" w:hAnsi="Tahoma" w:cs="Tahoma"/>
          <w:i w:val="0"/>
          <w:color w:val="auto"/>
          <w:sz w:val="24"/>
          <w:szCs w:val="24"/>
        </w:rPr>
        <w:t xml:space="preserve">: </w:t>
      </w:r>
      <w:r w:rsidR="00077B80" w:rsidRPr="00077B80">
        <w:rPr>
          <w:rFonts w:ascii="Tahoma" w:hAnsi="Tahoma" w:cs="Tahoma"/>
          <w:color w:val="FF0000"/>
          <w:sz w:val="24"/>
          <w:szCs w:val="24"/>
        </w:rPr>
        <w:t>Médicaments contre les troubles de l'acidité, inhibiteurs de la pompe à protons</w:t>
      </w:r>
    </w:p>
    <w:p w14:paraId="3412A6B2" w14:textId="3A1E02A2" w:rsidR="00593597" w:rsidRPr="00B06C47" w:rsidRDefault="00593597" w:rsidP="00B06C47">
      <w:pPr>
        <w:pStyle w:val="Normal1"/>
        <w:spacing w:after="0"/>
        <w:jc w:val="both"/>
        <w:rPr>
          <w:rFonts w:ascii="Tahoma" w:hAnsi="Tahoma" w:cs="Tahoma"/>
          <w:b/>
          <w:color w:val="FF0000"/>
          <w:sz w:val="24"/>
          <w:szCs w:val="24"/>
        </w:rPr>
      </w:pPr>
    </w:p>
    <w:p w14:paraId="2B7AE81A" w14:textId="77777777" w:rsidR="008568C7" w:rsidRDefault="008568C7" w:rsidP="000C12AB">
      <w:pPr>
        <w:spacing w:line="276" w:lineRule="auto"/>
        <w:jc w:val="both"/>
        <w:rPr>
          <w:rStyle w:val="gras"/>
          <w:rFonts w:ascii="Tahoma" w:hAnsi="Tahoma" w:cs="Tahoma"/>
          <w:bCs/>
          <w:color w:val="FF0000"/>
          <w:sz w:val="24"/>
          <w:szCs w:val="24"/>
        </w:rPr>
      </w:pPr>
    </w:p>
    <w:p w14:paraId="67A8F485" w14:textId="79757E4A" w:rsidR="000C12AB" w:rsidRPr="00B04B8A" w:rsidRDefault="000C12AB" w:rsidP="000C12AB">
      <w:pPr>
        <w:spacing w:line="276" w:lineRule="auto"/>
        <w:jc w:val="both"/>
        <w:rPr>
          <w:rStyle w:val="Accentuation"/>
          <w:rFonts w:ascii="Tahoma" w:hAnsi="Tahoma" w:cs="Tahoma"/>
          <w:i w:val="0"/>
          <w:sz w:val="24"/>
          <w:szCs w:val="24"/>
        </w:rPr>
      </w:pPr>
      <w:r w:rsidRPr="00B04B8A">
        <w:rPr>
          <w:rStyle w:val="Accentuation"/>
          <w:rFonts w:ascii="Tahoma" w:hAnsi="Tahoma" w:cs="Tahoma"/>
          <w:b/>
          <w:i w:val="0"/>
          <w:sz w:val="24"/>
          <w:szCs w:val="24"/>
        </w:rPr>
        <w:t>Article 4</w:t>
      </w:r>
      <w:r w:rsidRPr="00B04B8A">
        <w:rPr>
          <w:rStyle w:val="Accentuation"/>
          <w:rFonts w:ascii="Tahoma" w:hAnsi="Tahoma" w:cs="Tahoma"/>
          <w:i w:val="0"/>
          <w:sz w:val="24"/>
          <w:szCs w:val="24"/>
        </w:rPr>
        <w:t>.- Le résumé des caractéristiques du produit (RCP), la notice et l’étiquetage tels qu’approuvés et validés par la Commission Nationale du Médicament font partie intégrante de ce présent arrêté.</w:t>
      </w:r>
    </w:p>
    <w:p w14:paraId="57B98AE0" w14:textId="77777777" w:rsidR="000C12AB" w:rsidRPr="00B04B8A" w:rsidRDefault="000C12AB" w:rsidP="000C12AB">
      <w:pPr>
        <w:rPr>
          <w:rStyle w:val="Accentuation"/>
          <w:rFonts w:ascii="Tahoma" w:hAnsi="Tahoma" w:cs="Tahoma"/>
          <w:i w:val="0"/>
          <w:sz w:val="24"/>
          <w:szCs w:val="24"/>
        </w:rPr>
      </w:pPr>
    </w:p>
    <w:p w14:paraId="0411972F" w14:textId="77777777" w:rsidR="000C12AB" w:rsidRPr="00B04B8A" w:rsidRDefault="000C12AB" w:rsidP="000C12AB">
      <w:pPr>
        <w:spacing w:line="276" w:lineRule="auto"/>
        <w:jc w:val="both"/>
        <w:rPr>
          <w:rStyle w:val="Accentuation"/>
          <w:rFonts w:ascii="Tahoma" w:hAnsi="Tahoma" w:cs="Tahoma"/>
          <w:i w:val="0"/>
          <w:sz w:val="24"/>
          <w:szCs w:val="24"/>
        </w:rPr>
      </w:pPr>
      <w:r w:rsidRPr="00B04B8A">
        <w:rPr>
          <w:rStyle w:val="Accentuation"/>
          <w:rFonts w:ascii="Tahoma" w:hAnsi="Tahoma" w:cs="Tahoma"/>
          <w:b/>
          <w:i w:val="0"/>
          <w:sz w:val="24"/>
          <w:szCs w:val="24"/>
        </w:rPr>
        <w:t>Article 5</w:t>
      </w:r>
      <w:r w:rsidRPr="00B04B8A">
        <w:rPr>
          <w:rStyle w:val="Accentuation"/>
          <w:rFonts w:ascii="Tahoma" w:hAnsi="Tahoma" w:cs="Tahoma"/>
          <w:i w:val="0"/>
          <w:sz w:val="24"/>
          <w:szCs w:val="24"/>
        </w:rPr>
        <w:t xml:space="preserve">.- Le fabricant devra respecter les conditions prévues dans sa demande de visa en ce qui concerne la fabrication et le contrôle de ce produit. Toutefois, les méthodes de </w:t>
      </w:r>
      <w:r w:rsidR="002B372F" w:rsidRPr="00B04B8A">
        <w:rPr>
          <w:rStyle w:val="Accentuation"/>
          <w:rFonts w:ascii="Tahoma" w:hAnsi="Tahoma" w:cs="Tahoma"/>
          <w:i w:val="0"/>
          <w:sz w:val="24"/>
          <w:szCs w:val="24"/>
        </w:rPr>
        <w:t>contrôle devront</w:t>
      </w:r>
      <w:r w:rsidRPr="00B04B8A">
        <w:rPr>
          <w:rStyle w:val="Accentuation"/>
          <w:rFonts w:ascii="Tahoma" w:hAnsi="Tahoma" w:cs="Tahoma"/>
          <w:i w:val="0"/>
          <w:sz w:val="24"/>
          <w:szCs w:val="24"/>
        </w:rPr>
        <w:t xml:space="preserve"> être modifiées en fonction des progrès de la science et de l’évolution des techniques.</w:t>
      </w:r>
    </w:p>
    <w:p w14:paraId="31E19774" w14:textId="77777777" w:rsidR="000C12AB" w:rsidRPr="00B04B8A" w:rsidRDefault="000C12AB" w:rsidP="000C12AB">
      <w:pPr>
        <w:rPr>
          <w:rFonts w:ascii="Tahoma" w:hAnsi="Tahoma" w:cs="Tahoma"/>
          <w:spacing w:val="12"/>
          <w:sz w:val="24"/>
          <w:szCs w:val="24"/>
          <w:lang w:eastAsia="en-US"/>
        </w:rPr>
      </w:pPr>
    </w:p>
    <w:p w14:paraId="367C0B84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pacing w:val="12"/>
          <w:sz w:val="24"/>
          <w:szCs w:val="24"/>
          <w:lang w:eastAsia="en-US"/>
        </w:rPr>
      </w:pPr>
      <w:r w:rsidRPr="00B04B8A">
        <w:rPr>
          <w:rFonts w:ascii="Tahoma" w:hAnsi="Tahoma" w:cs="Tahoma"/>
          <w:b/>
          <w:sz w:val="24"/>
          <w:szCs w:val="24"/>
        </w:rPr>
        <w:t>Article 6</w:t>
      </w:r>
      <w:r w:rsidRPr="00B04B8A">
        <w:rPr>
          <w:rFonts w:ascii="Tahoma" w:hAnsi="Tahoma" w:cs="Tahoma"/>
          <w:sz w:val="24"/>
          <w:szCs w:val="24"/>
        </w:rPr>
        <w:t xml:space="preserve">.- </w:t>
      </w:r>
      <w:r w:rsidRPr="00B04B8A">
        <w:rPr>
          <w:rFonts w:ascii="Tahoma" w:hAnsi="Tahoma" w:cs="Tahoma"/>
          <w:sz w:val="24"/>
        </w:rPr>
        <w:t>La présente Autorisation de Mise sur le Marché est valable 5 ans</w:t>
      </w:r>
      <w:r w:rsidRPr="00B04B8A">
        <w:rPr>
          <w:rFonts w:ascii="Tahoma" w:hAnsi="Tahoma" w:cs="Tahoma"/>
          <w:b/>
          <w:sz w:val="24"/>
        </w:rPr>
        <w:t xml:space="preserve">. </w:t>
      </w:r>
      <w:r w:rsidRPr="00B04B8A">
        <w:rPr>
          <w:rFonts w:ascii="Tahoma" w:hAnsi="Tahoma" w:cs="Tahoma"/>
          <w:sz w:val="24"/>
        </w:rPr>
        <w:t>Elle peut être renouvelée dans les conditions prévues par la réglementation.</w:t>
      </w:r>
    </w:p>
    <w:p w14:paraId="4FD2A0A4" w14:textId="77777777" w:rsidR="000C12AB" w:rsidRPr="00B04B8A" w:rsidRDefault="000C12AB" w:rsidP="000C12AB">
      <w:pPr>
        <w:jc w:val="both"/>
        <w:rPr>
          <w:rFonts w:ascii="Tahoma" w:hAnsi="Tahoma" w:cs="Tahoma"/>
          <w:sz w:val="24"/>
          <w:szCs w:val="24"/>
        </w:rPr>
      </w:pPr>
    </w:p>
    <w:p w14:paraId="5E699DAD" w14:textId="6BD30330" w:rsidR="000C12AB" w:rsidRPr="00077B80" w:rsidRDefault="000C12AB" w:rsidP="00593597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</w:rPr>
      </w:pPr>
      <w:r w:rsidRPr="00B04B8A">
        <w:rPr>
          <w:rFonts w:ascii="Tahoma" w:hAnsi="Tahoma" w:cs="Tahoma"/>
          <w:b/>
        </w:rPr>
        <w:t>Article 7</w:t>
      </w:r>
      <w:r w:rsidRPr="00B04B8A">
        <w:rPr>
          <w:rFonts w:ascii="Tahoma" w:hAnsi="Tahoma" w:cs="Tahoma"/>
        </w:rPr>
        <w:t>.- La spécialité</w:t>
      </w:r>
      <w:r w:rsidR="00077B80">
        <w:rPr>
          <w:rFonts w:ascii="Tahoma" w:hAnsi="Tahoma" w:cs="Tahoma"/>
        </w:rPr>
        <w:t xml:space="preserve"> </w:t>
      </w:r>
      <w:r w:rsidR="00077B80" w:rsidRPr="001F47FB">
        <w:rPr>
          <w:rFonts w:ascii="Tahoma" w:hAnsi="Tahoma" w:cs="Tahoma"/>
          <w:b/>
          <w:bCs/>
          <w:color w:val="FF0000"/>
        </w:rPr>
        <w:t>Teromep</w:t>
      </w:r>
      <w:r w:rsidR="00077B80">
        <w:rPr>
          <w:rFonts w:ascii="Tahoma" w:hAnsi="Tahoma" w:cs="Tahoma"/>
          <w:b/>
          <w:bCs/>
          <w:color w:val="FF0000"/>
        </w:rPr>
        <w:t xml:space="preserve"> 20mg, gélules à libération </w:t>
      </w:r>
      <w:r w:rsidR="00077B80" w:rsidRPr="001F47FB">
        <w:rPr>
          <w:rFonts w:ascii="Tahoma" w:hAnsi="Tahoma" w:cs="Tahoma"/>
          <w:b/>
          <w:bCs/>
          <w:color w:val="FF0000"/>
        </w:rPr>
        <w:t>retardée</w:t>
      </w:r>
      <w:r w:rsidR="00077B80">
        <w:rPr>
          <w:rFonts w:ascii="Tahoma" w:hAnsi="Tahoma" w:cs="Tahoma"/>
          <w:b/>
          <w:bCs/>
          <w:color w:val="FF0000"/>
        </w:rPr>
        <w:t xml:space="preserve"> B/30</w:t>
      </w:r>
      <w:bookmarkStart w:id="1" w:name="_GoBack"/>
      <w:bookmarkEnd w:id="1"/>
      <w:r w:rsidR="00713EFD">
        <w:rPr>
          <w:rFonts w:ascii="Tahoma" w:hAnsi="Tahoma" w:cs="Tahoma"/>
          <w:b/>
          <w:bCs/>
        </w:rPr>
        <w:t xml:space="preserve"> </w:t>
      </w:r>
      <w:r w:rsidR="00B06C47">
        <w:rPr>
          <w:rFonts w:ascii="Tahoma" w:hAnsi="Tahoma" w:cs="Tahoma"/>
          <w:color w:val="FF0000"/>
        </w:rPr>
        <w:t xml:space="preserve">doit </w:t>
      </w:r>
      <w:r w:rsidRPr="00B04B8A">
        <w:rPr>
          <w:rFonts w:ascii="Tahoma" w:hAnsi="Tahoma" w:cs="Tahoma"/>
        </w:rPr>
        <w:t xml:space="preserve">être cédée au </w:t>
      </w:r>
      <w:r w:rsidR="00DC28B2" w:rsidRPr="00B04B8A">
        <w:rPr>
          <w:rFonts w:ascii="Tahoma" w:hAnsi="Tahoma" w:cs="Tahoma"/>
        </w:rPr>
        <w:t>Prix Grossiste</w:t>
      </w:r>
      <w:r w:rsidR="005E7572">
        <w:rPr>
          <w:rFonts w:ascii="Tahoma" w:hAnsi="Tahoma" w:cs="Tahoma"/>
        </w:rPr>
        <w:t xml:space="preserve"> Hors Taxe </w:t>
      </w:r>
      <w:r w:rsidR="005E7572" w:rsidRPr="008568C7">
        <w:rPr>
          <w:rFonts w:ascii="Tahoma" w:hAnsi="Tahoma" w:cs="Tahoma"/>
          <w:color w:val="FF0000"/>
        </w:rPr>
        <w:t>de</w:t>
      </w:r>
      <w:r w:rsidR="00077B80">
        <w:rPr>
          <w:rFonts w:ascii="Tahoma" w:hAnsi="Tahoma" w:cs="Tahoma"/>
          <w:color w:val="FF0000"/>
        </w:rPr>
        <w:t xml:space="preserve"> 3154</w:t>
      </w:r>
      <w:r w:rsidR="005E7572" w:rsidRPr="008568C7">
        <w:rPr>
          <w:rFonts w:ascii="Tahoma" w:hAnsi="Tahoma" w:cs="Tahoma"/>
          <w:color w:val="FF0000"/>
        </w:rPr>
        <w:t xml:space="preserve"> </w:t>
      </w:r>
      <w:r w:rsidR="00857F81">
        <w:rPr>
          <w:rFonts w:ascii="Tahoma" w:hAnsi="Tahoma" w:cs="Tahoma"/>
          <w:b/>
          <w:color w:val="FF0000"/>
        </w:rPr>
        <w:t>FCFA</w:t>
      </w:r>
      <w:r w:rsidRPr="00B04B8A">
        <w:rPr>
          <w:rFonts w:ascii="Tahoma" w:hAnsi="Tahoma" w:cs="Tahoma"/>
          <w:b/>
        </w:rPr>
        <w:t xml:space="preserve">, </w:t>
      </w:r>
      <w:r w:rsidR="00773AB1" w:rsidRPr="00B04B8A">
        <w:rPr>
          <w:rFonts w:ascii="Tahoma" w:hAnsi="Tahoma" w:cs="Tahoma"/>
          <w:b/>
        </w:rPr>
        <w:t xml:space="preserve">soit un prix </w:t>
      </w:r>
      <w:r w:rsidR="00137A60">
        <w:rPr>
          <w:rFonts w:ascii="Tahoma" w:hAnsi="Tahoma" w:cs="Tahoma"/>
          <w:b/>
        </w:rPr>
        <w:t>public de</w:t>
      </w:r>
      <w:r w:rsidR="00077B80">
        <w:rPr>
          <w:rFonts w:ascii="Tahoma" w:hAnsi="Tahoma" w:cs="Tahoma"/>
          <w:b/>
        </w:rPr>
        <w:t xml:space="preserve"> </w:t>
      </w:r>
      <w:r w:rsidR="00077B80" w:rsidRPr="00077B80">
        <w:rPr>
          <w:rFonts w:ascii="Tahoma" w:hAnsi="Tahoma" w:cs="Tahoma"/>
          <w:b/>
          <w:color w:val="FF0000"/>
        </w:rPr>
        <w:t>5460</w:t>
      </w:r>
      <w:r w:rsidR="00713EFD" w:rsidRPr="00077B80">
        <w:rPr>
          <w:rFonts w:ascii="Tahoma" w:hAnsi="Tahoma" w:cs="Tahoma"/>
          <w:b/>
          <w:color w:val="FF0000"/>
        </w:rPr>
        <w:t xml:space="preserve">  </w:t>
      </w:r>
      <w:r w:rsidR="00DC28B2" w:rsidRPr="00713EFD">
        <w:rPr>
          <w:rFonts w:ascii="Tahoma" w:hAnsi="Tahoma" w:cs="Tahoma"/>
          <w:b/>
          <w:color w:val="FF0000"/>
        </w:rPr>
        <w:t>F</w:t>
      </w:r>
      <w:r w:rsidRPr="00713EFD">
        <w:rPr>
          <w:rFonts w:ascii="Tahoma" w:hAnsi="Tahoma" w:cs="Tahoma"/>
          <w:b/>
          <w:color w:val="FF0000"/>
        </w:rPr>
        <w:t>CFA</w:t>
      </w:r>
      <w:r w:rsidRPr="00B04B8A">
        <w:rPr>
          <w:rFonts w:ascii="Tahoma" w:hAnsi="Tahoma" w:cs="Tahoma"/>
          <w:b/>
        </w:rPr>
        <w:t>.</w:t>
      </w:r>
      <w:r w:rsidR="00077B80">
        <w:rPr>
          <w:rFonts w:ascii="Tahoma" w:hAnsi="Tahoma" w:cs="Tahoma"/>
          <w:b/>
        </w:rPr>
        <w:t xml:space="preserve"> </w:t>
      </w:r>
    </w:p>
    <w:p w14:paraId="14D2D77B" w14:textId="77777777" w:rsidR="000C12AB" w:rsidRPr="00B04B8A" w:rsidRDefault="000C12AB" w:rsidP="000C12AB">
      <w:pPr>
        <w:jc w:val="both"/>
        <w:rPr>
          <w:rFonts w:ascii="Tahoma" w:hAnsi="Tahoma" w:cs="Tahoma"/>
          <w:b/>
          <w:strike/>
          <w:sz w:val="24"/>
          <w:szCs w:val="24"/>
        </w:rPr>
      </w:pPr>
    </w:p>
    <w:p w14:paraId="77A15728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Article 8</w:t>
      </w:r>
      <w:r w:rsidRPr="00B04B8A">
        <w:rPr>
          <w:rFonts w:ascii="Tahoma" w:hAnsi="Tahoma" w:cs="Tahoma"/>
          <w:sz w:val="24"/>
          <w:szCs w:val="24"/>
        </w:rPr>
        <w:t xml:space="preserve">.- Le Directeur de la Pharmacie et du Médicament est chargé de l’exécution du </w:t>
      </w:r>
      <w:r w:rsidR="002B372F" w:rsidRPr="00B04B8A">
        <w:rPr>
          <w:rFonts w:ascii="Tahoma" w:hAnsi="Tahoma" w:cs="Tahoma"/>
          <w:sz w:val="24"/>
          <w:szCs w:val="24"/>
        </w:rPr>
        <w:t>présent arrêté</w:t>
      </w:r>
      <w:r w:rsidRPr="00B04B8A">
        <w:rPr>
          <w:rFonts w:ascii="Tahoma" w:hAnsi="Tahoma" w:cs="Tahoma"/>
          <w:sz w:val="24"/>
          <w:szCs w:val="24"/>
        </w:rPr>
        <w:t xml:space="preserve"> qui sera enregistré et publié partout où besoin sera.</w:t>
      </w:r>
      <w:r w:rsidRPr="00B04B8A">
        <w:rPr>
          <w:rFonts w:ascii="Tahoma" w:hAnsi="Tahoma" w:cs="Tahoma"/>
          <w:sz w:val="24"/>
          <w:szCs w:val="24"/>
        </w:rPr>
        <w:tab/>
      </w:r>
    </w:p>
    <w:p w14:paraId="039992B2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sz w:val="24"/>
          <w:szCs w:val="24"/>
        </w:rPr>
        <w:tab/>
      </w:r>
      <w:r w:rsidRPr="00B04B8A">
        <w:rPr>
          <w:rFonts w:ascii="Tahoma" w:hAnsi="Tahoma" w:cs="Tahoma"/>
          <w:sz w:val="24"/>
          <w:szCs w:val="24"/>
        </w:rPr>
        <w:tab/>
      </w:r>
    </w:p>
    <w:p w14:paraId="359D5F34" w14:textId="77777777" w:rsidR="000C12AB" w:rsidRPr="00B04B8A" w:rsidRDefault="00B04B8A" w:rsidP="00B04B8A">
      <w:pPr>
        <w:tabs>
          <w:tab w:val="left" w:pos="798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715A0BA1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67D131B" w14:textId="77777777" w:rsidR="000C12AB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CE9C21" w14:textId="77777777" w:rsidR="008750CD" w:rsidRDefault="008750CD" w:rsidP="000C12AB">
      <w:pPr>
        <w:spacing w:line="276" w:lineRule="auto"/>
        <w:jc w:val="both"/>
        <w:rPr>
          <w:rFonts w:ascii="Tahoma" w:hAnsi="Tahoma" w:cs="Tahoma"/>
          <w:b/>
          <w:szCs w:val="18"/>
          <w:u w:val="single"/>
        </w:rPr>
      </w:pPr>
    </w:p>
    <w:p w14:paraId="2752B0C7" w14:textId="004C2FB3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  <w:u w:val="single"/>
        </w:rPr>
        <w:t>AMPLIATIONS </w:t>
      </w:r>
      <w:r w:rsidRPr="00AD1CC7">
        <w:rPr>
          <w:rFonts w:ascii="Tahoma" w:hAnsi="Tahoma" w:cs="Tahoma"/>
          <w:b/>
          <w:szCs w:val="18"/>
        </w:rPr>
        <w:t>:</w:t>
      </w:r>
    </w:p>
    <w:p w14:paraId="2A547E16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>PR/SG</w:t>
      </w:r>
    </w:p>
    <w:p w14:paraId="0675E9E3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 xml:space="preserve">SGG       </w:t>
      </w:r>
      <w:r w:rsidRPr="00AD1CC7">
        <w:rPr>
          <w:rFonts w:ascii="Tahoma" w:hAnsi="Tahoma" w:cs="Tahoma"/>
          <w:b/>
          <w:szCs w:val="18"/>
        </w:rPr>
        <w:tab/>
      </w:r>
      <w:r w:rsidRPr="00AD1CC7">
        <w:rPr>
          <w:rFonts w:ascii="Tahoma" w:hAnsi="Tahoma" w:cs="Tahoma"/>
          <w:b/>
          <w:szCs w:val="18"/>
        </w:rPr>
        <w:tab/>
      </w:r>
    </w:p>
    <w:p w14:paraId="749A5F69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lastRenderedPageBreak/>
        <w:t>MSAS/CAB</w:t>
      </w:r>
    </w:p>
    <w:p w14:paraId="614B36F4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 xml:space="preserve">SYNDICAT DES PHARMACIENS                                       </w:t>
      </w:r>
    </w:p>
    <w:p w14:paraId="1D881991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>INTERESSES</w:t>
      </w:r>
    </w:p>
    <w:p w14:paraId="09498ADF" w14:textId="77777777" w:rsidR="00181366" w:rsidRPr="00AD1CC7" w:rsidRDefault="000C12AB">
      <w:pPr>
        <w:rPr>
          <w:sz w:val="22"/>
        </w:rPr>
      </w:pPr>
      <w:r w:rsidRPr="00AD1CC7">
        <w:rPr>
          <w:rFonts w:ascii="Tahoma" w:hAnsi="Tahoma" w:cs="Tahoma"/>
          <w:b/>
          <w:szCs w:val="18"/>
        </w:rPr>
        <w:t>ARCHIVES/JORS</w:t>
      </w:r>
    </w:p>
    <w:sectPr w:rsidR="00181366" w:rsidRPr="00AD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517F" w14:textId="77777777" w:rsidR="00F03681" w:rsidRDefault="00F03681" w:rsidP="00E500F2">
      <w:r>
        <w:separator/>
      </w:r>
    </w:p>
  </w:endnote>
  <w:endnote w:type="continuationSeparator" w:id="0">
    <w:p w14:paraId="1075D775" w14:textId="77777777" w:rsidR="00F03681" w:rsidRDefault="00F03681" w:rsidP="00E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07C7" w14:textId="77777777" w:rsidR="00F03681" w:rsidRDefault="00F03681" w:rsidP="00E500F2">
      <w:r>
        <w:separator/>
      </w:r>
    </w:p>
  </w:footnote>
  <w:footnote w:type="continuationSeparator" w:id="0">
    <w:p w14:paraId="3B08839A" w14:textId="77777777" w:rsidR="00F03681" w:rsidRDefault="00F03681" w:rsidP="00E5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AB"/>
    <w:rsid w:val="000007C3"/>
    <w:rsid w:val="0001746F"/>
    <w:rsid w:val="000302A4"/>
    <w:rsid w:val="00077B80"/>
    <w:rsid w:val="000B5B70"/>
    <w:rsid w:val="000C12AB"/>
    <w:rsid w:val="000F2502"/>
    <w:rsid w:val="00137A60"/>
    <w:rsid w:val="001559F7"/>
    <w:rsid w:val="001F47FB"/>
    <w:rsid w:val="00213155"/>
    <w:rsid w:val="002866BC"/>
    <w:rsid w:val="002A07C3"/>
    <w:rsid w:val="002B372F"/>
    <w:rsid w:val="002D71AF"/>
    <w:rsid w:val="002E35BE"/>
    <w:rsid w:val="002F5104"/>
    <w:rsid w:val="00361B40"/>
    <w:rsid w:val="00367A1F"/>
    <w:rsid w:val="00370211"/>
    <w:rsid w:val="00386A63"/>
    <w:rsid w:val="003A7C92"/>
    <w:rsid w:val="003C102B"/>
    <w:rsid w:val="003D219F"/>
    <w:rsid w:val="003F66C6"/>
    <w:rsid w:val="00426790"/>
    <w:rsid w:val="0043422B"/>
    <w:rsid w:val="00467E12"/>
    <w:rsid w:val="004B468E"/>
    <w:rsid w:val="004B58D8"/>
    <w:rsid w:val="004B767A"/>
    <w:rsid w:val="004D154D"/>
    <w:rsid w:val="004F6762"/>
    <w:rsid w:val="00530AC6"/>
    <w:rsid w:val="00562E2D"/>
    <w:rsid w:val="00593597"/>
    <w:rsid w:val="005A0266"/>
    <w:rsid w:val="005E7572"/>
    <w:rsid w:val="006008D9"/>
    <w:rsid w:val="006376C6"/>
    <w:rsid w:val="006A3F93"/>
    <w:rsid w:val="006C4169"/>
    <w:rsid w:val="00713EFD"/>
    <w:rsid w:val="007531F5"/>
    <w:rsid w:val="0077341A"/>
    <w:rsid w:val="00773AB1"/>
    <w:rsid w:val="00792204"/>
    <w:rsid w:val="00796538"/>
    <w:rsid w:val="007B3601"/>
    <w:rsid w:val="007B5C03"/>
    <w:rsid w:val="007D6971"/>
    <w:rsid w:val="007E15D3"/>
    <w:rsid w:val="007E71A3"/>
    <w:rsid w:val="00846668"/>
    <w:rsid w:val="008568C7"/>
    <w:rsid w:val="00857F81"/>
    <w:rsid w:val="00863CDF"/>
    <w:rsid w:val="00867247"/>
    <w:rsid w:val="008750CD"/>
    <w:rsid w:val="00883255"/>
    <w:rsid w:val="008962DB"/>
    <w:rsid w:val="0092676B"/>
    <w:rsid w:val="00940994"/>
    <w:rsid w:val="00947B1C"/>
    <w:rsid w:val="0095678E"/>
    <w:rsid w:val="00A55106"/>
    <w:rsid w:val="00AD1CC7"/>
    <w:rsid w:val="00AF5A49"/>
    <w:rsid w:val="00B03679"/>
    <w:rsid w:val="00B04B8A"/>
    <w:rsid w:val="00B06C47"/>
    <w:rsid w:val="00B23238"/>
    <w:rsid w:val="00B85F32"/>
    <w:rsid w:val="00CC0044"/>
    <w:rsid w:val="00CC3C23"/>
    <w:rsid w:val="00CD0788"/>
    <w:rsid w:val="00D27110"/>
    <w:rsid w:val="00DC28B2"/>
    <w:rsid w:val="00DE4C41"/>
    <w:rsid w:val="00DF3A68"/>
    <w:rsid w:val="00E438D0"/>
    <w:rsid w:val="00E500F2"/>
    <w:rsid w:val="00EB23F0"/>
    <w:rsid w:val="00F03681"/>
    <w:rsid w:val="00F50FD9"/>
    <w:rsid w:val="00F519F6"/>
    <w:rsid w:val="00F62846"/>
    <w:rsid w:val="00F831BA"/>
    <w:rsid w:val="00F9503F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BCC2"/>
  <w15:chartTrackingRefBased/>
  <w15:docId w15:val="{5E4F3D33-131D-4299-913D-21337094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0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0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00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0F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23238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B23238"/>
    <w:rPr>
      <w:i/>
      <w:iCs/>
    </w:rPr>
  </w:style>
  <w:style w:type="paragraph" w:customStyle="1" w:styleId="AmmTitulaireCpVillePays">
    <w:name w:val="AmmTitulaireCpVillePays"/>
    <w:basedOn w:val="Normal"/>
    <w:locked/>
    <w:rsid w:val="00426790"/>
    <w:rPr>
      <w:rFonts w:ascii="Arial" w:hAnsi="Arial" w:cs="Arial"/>
      <w:caps/>
      <w:sz w:val="22"/>
    </w:rPr>
  </w:style>
  <w:style w:type="paragraph" w:customStyle="1" w:styleId="AmmCorpsTexte">
    <w:name w:val="AmmCorpsTexte"/>
    <w:basedOn w:val="Normal"/>
    <w:link w:val="AmmCorpsTexteCar"/>
    <w:uiPriority w:val="99"/>
    <w:rsid w:val="00426790"/>
    <w:pPr>
      <w:spacing w:after="120"/>
      <w:jc w:val="both"/>
    </w:pPr>
    <w:rPr>
      <w:rFonts w:ascii="Arial" w:hAnsi="Arial"/>
    </w:rPr>
  </w:style>
  <w:style w:type="character" w:customStyle="1" w:styleId="AmmCorpsTexteCar">
    <w:name w:val="AmmCorpsTexte Car"/>
    <w:link w:val="AmmCorpsTexte"/>
    <w:uiPriority w:val="99"/>
    <w:rsid w:val="00426790"/>
    <w:rPr>
      <w:rFonts w:ascii="Arial" w:eastAsia="Times New Roman" w:hAnsi="Arial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0F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3">
    <w:name w:val="Style3"/>
    <w:basedOn w:val="Normal"/>
    <w:uiPriority w:val="99"/>
    <w:rsid w:val="000007C3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  <w:lang w:val="tr-TR" w:eastAsia="tr-TR"/>
    </w:rPr>
  </w:style>
  <w:style w:type="paragraph" w:customStyle="1" w:styleId="Style2">
    <w:name w:val="Style2"/>
    <w:basedOn w:val="Normal"/>
    <w:uiPriority w:val="99"/>
    <w:rsid w:val="00CD0788"/>
    <w:pPr>
      <w:widowControl w:val="0"/>
      <w:autoSpaceDE w:val="0"/>
      <w:autoSpaceDN w:val="0"/>
      <w:adjustRightInd w:val="0"/>
    </w:pPr>
    <w:rPr>
      <w:sz w:val="24"/>
      <w:szCs w:val="24"/>
      <w:lang w:val="tr-TR" w:eastAsia="tr-TR"/>
    </w:rPr>
  </w:style>
  <w:style w:type="character" w:customStyle="1" w:styleId="FontStyle12">
    <w:name w:val="Font Style12"/>
    <w:uiPriority w:val="99"/>
    <w:rsid w:val="00CD07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hps">
    <w:name w:val="hps"/>
    <w:basedOn w:val="Policepardfaut"/>
    <w:rsid w:val="00CD0788"/>
  </w:style>
  <w:style w:type="paragraph" w:customStyle="1" w:styleId="Style1">
    <w:name w:val="Style1"/>
    <w:basedOn w:val="Normal"/>
    <w:uiPriority w:val="99"/>
    <w:rsid w:val="00CD0788"/>
    <w:pPr>
      <w:widowControl w:val="0"/>
      <w:autoSpaceDE w:val="0"/>
      <w:autoSpaceDN w:val="0"/>
      <w:adjustRightInd w:val="0"/>
      <w:spacing w:line="566" w:lineRule="exact"/>
    </w:pPr>
    <w:rPr>
      <w:sz w:val="24"/>
      <w:szCs w:val="24"/>
      <w:lang w:val="tr-TR" w:eastAsia="tr-TR"/>
    </w:rPr>
  </w:style>
  <w:style w:type="character" w:customStyle="1" w:styleId="FontStyle16">
    <w:name w:val="Font Style16"/>
    <w:uiPriority w:val="99"/>
    <w:rsid w:val="00CD0788"/>
    <w:rPr>
      <w:rFonts w:ascii="Candara" w:hAnsi="Candara" w:cs="Candara"/>
      <w:i/>
      <w:i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B4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mmannexetitre2">
    <w:name w:val="ammannexetitre2"/>
    <w:basedOn w:val="Normal"/>
    <w:rsid w:val="00792204"/>
    <w:pPr>
      <w:spacing w:before="100" w:beforeAutospacing="1" w:after="100" w:afterAutospacing="1"/>
    </w:pPr>
    <w:rPr>
      <w:sz w:val="24"/>
      <w:szCs w:val="24"/>
    </w:rPr>
  </w:style>
  <w:style w:type="character" w:customStyle="1" w:styleId="gras">
    <w:name w:val="gras"/>
    <w:basedOn w:val="Policepardfaut"/>
    <w:rsid w:val="00792204"/>
  </w:style>
  <w:style w:type="paragraph" w:customStyle="1" w:styleId="ammcorpstextegras">
    <w:name w:val="ammcorpstextegras"/>
    <w:basedOn w:val="Normal"/>
    <w:rsid w:val="004D154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4B58D8"/>
    <w:pPr>
      <w:spacing w:line="256" w:lineRule="auto"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2021-01-14T11:34:00Z</dcterms:created>
  <dcterms:modified xsi:type="dcterms:W3CDTF">2021-10-08T13:07:00Z</dcterms:modified>
</cp:coreProperties>
</file>